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F51" w:rsidRDefault="00967F51" w:rsidP="00967F51">
      <w:pPr>
        <w:rPr>
          <w:rFonts w:ascii="Arial" w:hAnsi="Arial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2"/>
        <w:gridCol w:w="6407"/>
        <w:gridCol w:w="2147"/>
        <w:gridCol w:w="3332"/>
      </w:tblGrid>
      <w:tr w:rsidR="00967F51" w:rsidRPr="001845ED" w:rsidTr="00B1267B">
        <w:trPr>
          <w:trHeight w:val="523"/>
        </w:trPr>
        <w:tc>
          <w:tcPr>
            <w:tcW w:w="2268" w:type="dxa"/>
            <w:vAlign w:val="bottom"/>
          </w:tcPr>
          <w:p w:rsidR="00967F51" w:rsidRPr="001845ED" w:rsidRDefault="00967F51" w:rsidP="00B1267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967F51" w:rsidRPr="001845ED" w:rsidRDefault="00967F51" w:rsidP="00B126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967F51" w:rsidRPr="001845ED" w:rsidRDefault="00967F51" w:rsidP="00B126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de Prerrogativas y Partidos Políticos</w:t>
            </w:r>
          </w:p>
        </w:tc>
        <w:tc>
          <w:tcPr>
            <w:tcW w:w="2160" w:type="dxa"/>
            <w:vAlign w:val="bottom"/>
          </w:tcPr>
          <w:p w:rsidR="00967F51" w:rsidRPr="001845ED" w:rsidRDefault="00967F51" w:rsidP="00B1267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370" w:type="dxa"/>
            <w:tcBorders>
              <w:bottom w:val="single" w:sz="4" w:space="0" w:color="auto"/>
            </w:tcBorders>
            <w:vAlign w:val="bottom"/>
          </w:tcPr>
          <w:p w:rsidR="00967F51" w:rsidRPr="001845ED" w:rsidRDefault="00967F51" w:rsidP="00B1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Nuevo León</w:t>
            </w:r>
          </w:p>
        </w:tc>
      </w:tr>
    </w:tbl>
    <w:p w:rsidR="00967F51" w:rsidRPr="00D87B93" w:rsidRDefault="00967F51" w:rsidP="00967F51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0"/>
        <w:gridCol w:w="3380"/>
        <w:gridCol w:w="1425"/>
        <w:gridCol w:w="3215"/>
        <w:gridCol w:w="1611"/>
        <w:gridCol w:w="2437"/>
      </w:tblGrid>
      <w:tr w:rsidR="00967F51" w:rsidRPr="001845ED" w:rsidTr="00B1267B">
        <w:trPr>
          <w:trHeight w:val="293"/>
        </w:trPr>
        <w:tc>
          <w:tcPr>
            <w:tcW w:w="2089" w:type="dxa"/>
            <w:vAlign w:val="center"/>
          </w:tcPr>
          <w:p w:rsidR="00967F51" w:rsidRPr="001845ED" w:rsidRDefault="00967F51" w:rsidP="00B1267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967F51" w:rsidRPr="001845ED" w:rsidRDefault="00967F51" w:rsidP="00B1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y 26 de mayo</w:t>
            </w:r>
          </w:p>
        </w:tc>
        <w:tc>
          <w:tcPr>
            <w:tcW w:w="1434" w:type="dxa"/>
            <w:vAlign w:val="center"/>
          </w:tcPr>
          <w:p w:rsidR="00967F51" w:rsidRPr="001845ED" w:rsidRDefault="00967F51" w:rsidP="00B1267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967F51" w:rsidRPr="001845ED" w:rsidRDefault="00967F51" w:rsidP="00B1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JD 04 San Nicolás de los Garza y Junta Local Monterrey</w:t>
            </w:r>
          </w:p>
        </w:tc>
        <w:tc>
          <w:tcPr>
            <w:tcW w:w="1620" w:type="dxa"/>
            <w:vAlign w:val="center"/>
          </w:tcPr>
          <w:p w:rsidR="00967F51" w:rsidRPr="001845ED" w:rsidRDefault="00967F51" w:rsidP="00B1267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967F51" w:rsidRPr="001845ED" w:rsidRDefault="00967F51" w:rsidP="00B1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7F51" w:rsidRPr="00D87B93" w:rsidRDefault="00967F51" w:rsidP="00967F51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1765"/>
      </w:tblGrid>
      <w:tr w:rsidR="00967F51" w:rsidRPr="001845ED" w:rsidTr="00B1267B">
        <w:trPr>
          <w:trHeight w:val="791"/>
        </w:trPr>
        <w:tc>
          <w:tcPr>
            <w:tcW w:w="2547" w:type="dxa"/>
          </w:tcPr>
          <w:p w:rsidR="00967F51" w:rsidRPr="001845ED" w:rsidRDefault="00967F51" w:rsidP="00B1267B">
            <w:pPr>
              <w:ind w:left="29" w:right="175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bjetivo de la 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isita: </w:t>
            </w:r>
          </w:p>
        </w:tc>
        <w:tc>
          <w:tcPr>
            <w:tcW w:w="11765" w:type="dxa"/>
          </w:tcPr>
          <w:p w:rsidR="00967F51" w:rsidRPr="004D0566" w:rsidRDefault="00967F51" w:rsidP="00B126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566">
              <w:rPr>
                <w:rFonts w:ascii="Arial" w:hAnsi="Arial" w:cs="Arial"/>
                <w:sz w:val="20"/>
                <w:szCs w:val="20"/>
              </w:rPr>
              <w:t>Reunión de trabajo con personal de la Dirección General de Radio, Televisión y Cinematografía (DGRTC), en el marco del Convenio de colaboración para el apoyo técnico en monitoreo de medios de radiodifusión; utilización de equipos, instalaciones e intercambio de información y archivos digitales pertenecientes al Instituto Nacional Electoral.</w:t>
            </w:r>
          </w:p>
        </w:tc>
      </w:tr>
    </w:tbl>
    <w:p w:rsidR="00967F51" w:rsidRPr="00D87B93" w:rsidRDefault="00967F51" w:rsidP="00967F51">
      <w:pPr>
        <w:rPr>
          <w:rFonts w:ascii="Arial" w:hAnsi="Arial" w:cs="Arial"/>
          <w:b/>
          <w:sz w:val="20"/>
          <w:szCs w:val="20"/>
        </w:rPr>
      </w:pPr>
    </w:p>
    <w:p w:rsidR="00967F51" w:rsidRPr="00D87B93" w:rsidRDefault="00967F51" w:rsidP="00967F51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967F51" w:rsidRPr="00D87B93" w:rsidRDefault="00967F51" w:rsidP="00967F51">
      <w:pPr>
        <w:rPr>
          <w:rFonts w:ascii="Arial" w:hAnsi="Arial" w:cs="Arial"/>
          <w:b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  <w:gridCol w:w="3780"/>
        <w:gridCol w:w="3240"/>
      </w:tblGrid>
      <w:tr w:rsidR="00967F51" w:rsidRPr="001845ED" w:rsidTr="00B1267B">
        <w:trPr>
          <w:tblHeader/>
        </w:trPr>
        <w:tc>
          <w:tcPr>
            <w:tcW w:w="3348" w:type="dxa"/>
            <w:vAlign w:val="center"/>
          </w:tcPr>
          <w:p w:rsidR="00967F51" w:rsidRPr="001845ED" w:rsidRDefault="00967F51" w:rsidP="00B126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967F51" w:rsidRPr="001845ED" w:rsidRDefault="00967F51" w:rsidP="00B126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967F51" w:rsidRPr="001845ED" w:rsidRDefault="00967F51" w:rsidP="00B126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967F51" w:rsidRPr="001845ED" w:rsidRDefault="00967F51" w:rsidP="00B126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240" w:type="dxa"/>
            <w:vAlign w:val="center"/>
          </w:tcPr>
          <w:p w:rsidR="00967F51" w:rsidRPr="001845ED" w:rsidRDefault="00967F51" w:rsidP="00B126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967F51" w:rsidRPr="001845ED" w:rsidTr="00B1267B">
        <w:trPr>
          <w:cantSplit/>
          <w:trHeight w:val="3268"/>
        </w:trPr>
        <w:tc>
          <w:tcPr>
            <w:tcW w:w="3348" w:type="dxa"/>
            <w:vAlign w:val="center"/>
          </w:tcPr>
          <w:p w:rsidR="00967F51" w:rsidRPr="001845ED" w:rsidRDefault="00967F51" w:rsidP="00B1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967F51" w:rsidRPr="001845ED" w:rsidRDefault="00967F51" w:rsidP="00B1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0" w:type="dxa"/>
          </w:tcPr>
          <w:p w:rsidR="00967F51" w:rsidRDefault="00967F51" w:rsidP="00B1267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2F2F2F"/>
                <w:sz w:val="16"/>
                <w:szCs w:val="16"/>
              </w:rPr>
            </w:pPr>
            <w:r>
              <w:rPr>
                <w:rFonts w:ascii="Arial" w:hAnsi="Arial" w:cs="Arial"/>
                <w:color w:val="2F2F2F"/>
                <w:sz w:val="16"/>
                <w:szCs w:val="16"/>
              </w:rPr>
              <w:t xml:space="preserve">Se visitó a los CEVEM 83 en </w:t>
            </w:r>
            <w:r w:rsidRPr="00B262BB">
              <w:rPr>
                <w:rFonts w:ascii="Arial" w:hAnsi="Arial" w:cs="Arial"/>
                <w:color w:val="2F2F2F"/>
                <w:sz w:val="16"/>
                <w:szCs w:val="16"/>
              </w:rPr>
              <w:t>Monterrey</w:t>
            </w:r>
            <w:r>
              <w:rPr>
                <w:rFonts w:ascii="Arial" w:hAnsi="Arial" w:cs="Arial"/>
                <w:color w:val="2F2F2F"/>
                <w:sz w:val="16"/>
                <w:szCs w:val="16"/>
              </w:rPr>
              <w:t xml:space="preserve"> (JL) y CEVEM 84 en</w:t>
            </w:r>
            <w:r w:rsidRPr="00B262BB">
              <w:rPr>
                <w:rFonts w:ascii="Arial" w:hAnsi="Arial" w:cs="Arial"/>
                <w:color w:val="2F2F2F"/>
                <w:sz w:val="16"/>
                <w:szCs w:val="16"/>
              </w:rPr>
              <w:t xml:space="preserve"> San Nicolás de los Garza</w:t>
            </w:r>
            <w:r>
              <w:rPr>
                <w:rFonts w:ascii="Arial" w:hAnsi="Arial" w:cs="Arial"/>
                <w:color w:val="2F2F2F"/>
                <w:sz w:val="16"/>
                <w:szCs w:val="16"/>
              </w:rPr>
              <w:t xml:space="preserve"> (JD04) con apoyo del Supervisor de monitoreo de la entidad</w:t>
            </w:r>
            <w:r w:rsidRPr="00B262BB">
              <w:rPr>
                <w:rFonts w:ascii="Arial" w:hAnsi="Arial" w:cs="Arial"/>
                <w:color w:val="2F2F2F"/>
                <w:sz w:val="16"/>
                <w:szCs w:val="16"/>
              </w:rPr>
              <w:t xml:space="preserve"> para la </w:t>
            </w:r>
            <w:r>
              <w:rPr>
                <w:rFonts w:ascii="Arial" w:hAnsi="Arial" w:cs="Arial"/>
                <w:color w:val="2F2F2F"/>
                <w:sz w:val="16"/>
                <w:szCs w:val="16"/>
              </w:rPr>
              <w:t>revisión</w:t>
            </w:r>
            <w:r w:rsidRPr="00B262BB">
              <w:rPr>
                <w:rFonts w:ascii="Arial" w:hAnsi="Arial" w:cs="Arial"/>
                <w:color w:val="2F2F2F"/>
                <w:sz w:val="16"/>
                <w:szCs w:val="16"/>
              </w:rPr>
              <w:t xml:space="preserve"> del espacio físico que se requiere para la instalación de una</w:t>
            </w:r>
            <w:r>
              <w:rPr>
                <w:rFonts w:ascii="Arial" w:hAnsi="Arial" w:cs="Arial"/>
                <w:color w:val="2F2F2F"/>
                <w:sz w:val="16"/>
                <w:szCs w:val="16"/>
              </w:rPr>
              <w:t xml:space="preserve"> </w:t>
            </w:r>
            <w:r w:rsidRPr="00B262BB">
              <w:rPr>
                <w:rFonts w:ascii="Arial" w:hAnsi="Arial" w:cs="Arial"/>
                <w:color w:val="2F2F2F"/>
                <w:sz w:val="16"/>
                <w:szCs w:val="16"/>
              </w:rPr>
              <w:t>antena satelital</w:t>
            </w:r>
            <w:r>
              <w:rPr>
                <w:rFonts w:ascii="Arial" w:hAnsi="Arial" w:cs="Arial"/>
                <w:color w:val="2F2F2F"/>
                <w:sz w:val="16"/>
                <w:szCs w:val="16"/>
              </w:rPr>
              <w:t xml:space="preserve"> de DGRTC y del </w:t>
            </w:r>
            <w:r w:rsidRPr="00B262BB">
              <w:rPr>
                <w:rFonts w:ascii="Arial" w:hAnsi="Arial" w:cs="Arial"/>
                <w:color w:val="2F2F2F"/>
                <w:sz w:val="16"/>
                <w:szCs w:val="16"/>
              </w:rPr>
              <w:t xml:space="preserve"> espacio en rack para la instalación de equipo informático de la </w:t>
            </w:r>
            <w:r>
              <w:rPr>
                <w:rFonts w:ascii="Arial" w:hAnsi="Arial" w:cs="Arial"/>
                <w:color w:val="2F2F2F"/>
                <w:sz w:val="16"/>
                <w:szCs w:val="16"/>
              </w:rPr>
              <w:t>misma dependencia.</w:t>
            </w:r>
          </w:p>
          <w:p w:rsidR="00967F51" w:rsidRDefault="00967F51" w:rsidP="00B1267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F2F2F"/>
                <w:sz w:val="16"/>
                <w:szCs w:val="16"/>
              </w:rPr>
            </w:pPr>
          </w:p>
          <w:p w:rsidR="00967F51" w:rsidRPr="00B262BB" w:rsidRDefault="00967F51" w:rsidP="00B1267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F2F2F"/>
                <w:sz w:val="16"/>
                <w:szCs w:val="16"/>
              </w:rPr>
            </w:pPr>
            <w:r>
              <w:rPr>
                <w:rFonts w:ascii="Arial" w:hAnsi="Arial" w:cs="Arial"/>
                <w:color w:val="2F2F2F"/>
                <w:sz w:val="16"/>
                <w:szCs w:val="16"/>
              </w:rPr>
              <w:t>Se concluyó que sí</w:t>
            </w:r>
            <w:r w:rsidRPr="00B262BB">
              <w:rPr>
                <w:rFonts w:ascii="Arial" w:hAnsi="Arial" w:cs="Arial"/>
                <w:color w:val="2F2F2F"/>
                <w:sz w:val="16"/>
                <w:szCs w:val="16"/>
              </w:rPr>
              <w:t xml:space="preserve"> es posible realizar la instalación</w:t>
            </w:r>
            <w:r>
              <w:rPr>
                <w:rFonts w:ascii="Arial" w:hAnsi="Arial" w:cs="Arial"/>
                <w:color w:val="2F2F2F"/>
                <w:sz w:val="16"/>
                <w:szCs w:val="16"/>
              </w:rPr>
              <w:t xml:space="preserve"> tanto de la antena como de los equipos informáticos</w:t>
            </w:r>
            <w:r w:rsidRPr="00B262BB">
              <w:rPr>
                <w:rFonts w:ascii="Arial" w:hAnsi="Arial" w:cs="Arial"/>
                <w:color w:val="2F2F2F"/>
                <w:sz w:val="16"/>
                <w:szCs w:val="16"/>
              </w:rPr>
              <w:t xml:space="preserve"> ya que se cuenta con el espacio suficiente en la azotea del edificio y en los rack de los CEVEM.</w:t>
            </w:r>
          </w:p>
        </w:tc>
        <w:tc>
          <w:tcPr>
            <w:tcW w:w="3240" w:type="dxa"/>
            <w:vAlign w:val="center"/>
          </w:tcPr>
          <w:p w:rsidR="00967F51" w:rsidRPr="00B262BB" w:rsidRDefault="00967F51" w:rsidP="00B1267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262BB">
              <w:rPr>
                <w:rFonts w:ascii="Arial" w:hAnsi="Arial" w:cs="Arial"/>
                <w:sz w:val="16"/>
                <w:szCs w:val="16"/>
              </w:rPr>
              <w:t xml:space="preserve">La DGRTC validó los inmuebles </w:t>
            </w:r>
            <w:r>
              <w:rPr>
                <w:rFonts w:ascii="Arial" w:hAnsi="Arial" w:cs="Arial"/>
                <w:sz w:val="16"/>
                <w:szCs w:val="16"/>
              </w:rPr>
              <w:t>para realizar la instalación, y</w:t>
            </w:r>
            <w:r w:rsidRPr="00B262BB">
              <w:rPr>
                <w:rFonts w:ascii="Arial" w:hAnsi="Arial" w:cs="Arial"/>
                <w:sz w:val="16"/>
                <w:szCs w:val="16"/>
              </w:rPr>
              <w:t xml:space="preserve"> notificará oficialmente al INE la fecha para lle</w:t>
            </w:r>
            <w:r>
              <w:rPr>
                <w:rFonts w:ascii="Arial" w:hAnsi="Arial" w:cs="Arial"/>
                <w:sz w:val="16"/>
                <w:szCs w:val="16"/>
              </w:rPr>
              <w:t>var a cabo la instalación y poder</w:t>
            </w:r>
            <w:r w:rsidRPr="00B262BB">
              <w:rPr>
                <w:rFonts w:ascii="Arial" w:hAnsi="Arial" w:cs="Arial"/>
                <w:sz w:val="16"/>
                <w:szCs w:val="16"/>
              </w:rPr>
              <w:t xml:space="preserve"> realizar pruebas</w:t>
            </w:r>
            <w:r>
              <w:rPr>
                <w:rFonts w:ascii="Arial" w:hAnsi="Arial" w:cs="Arial"/>
                <w:sz w:val="16"/>
                <w:szCs w:val="16"/>
              </w:rPr>
              <w:t>, es posible que se requiera una nueva visita cuando se realice la instalación y se validen las pruebas en conjunto.</w:t>
            </w:r>
          </w:p>
        </w:tc>
      </w:tr>
    </w:tbl>
    <w:p w:rsidR="00967F51" w:rsidRPr="00B717AA" w:rsidRDefault="00967F51" w:rsidP="00967F51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967F51" w:rsidRPr="001845ED" w:rsidTr="00B1267B">
        <w:trPr>
          <w:trHeight w:hRule="exact" w:val="567"/>
        </w:trPr>
        <w:tc>
          <w:tcPr>
            <w:tcW w:w="3397" w:type="dxa"/>
          </w:tcPr>
          <w:p w:rsidR="00967F51" w:rsidRPr="001845ED" w:rsidRDefault="00967F51" w:rsidP="00B1267B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</w:p>
        </w:tc>
        <w:tc>
          <w:tcPr>
            <w:tcW w:w="10915" w:type="dxa"/>
          </w:tcPr>
          <w:p w:rsidR="00967F51" w:rsidRPr="001845ED" w:rsidRDefault="00967F51" w:rsidP="00B126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7F51" w:rsidRPr="00B717AA" w:rsidRDefault="00967F51" w:rsidP="00967F51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967F51" w:rsidRPr="001845ED" w:rsidTr="00B1267B">
        <w:trPr>
          <w:trHeight w:hRule="exact" w:val="567"/>
        </w:trPr>
        <w:tc>
          <w:tcPr>
            <w:tcW w:w="3397" w:type="dxa"/>
          </w:tcPr>
          <w:p w:rsidR="00967F51" w:rsidRPr="001845ED" w:rsidRDefault="00967F51" w:rsidP="00B1267B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Necesidades 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5" w:type="dxa"/>
          </w:tcPr>
          <w:p w:rsidR="00967F51" w:rsidRPr="001845ED" w:rsidRDefault="00967F51" w:rsidP="00B126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7F51" w:rsidRPr="009E420A" w:rsidRDefault="00967F51" w:rsidP="00967F51">
      <w:pPr>
        <w:rPr>
          <w:rFonts w:ascii="Arial" w:hAnsi="Arial" w:cs="Arial"/>
          <w:b/>
        </w:rPr>
      </w:pPr>
    </w:p>
    <w:p w:rsidR="00967F51" w:rsidRPr="00967F51" w:rsidRDefault="00967F51">
      <w:pPr>
        <w:rPr>
          <w:rFonts w:ascii="Arial" w:hAnsi="Arial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0"/>
        <w:gridCol w:w="6401"/>
        <w:gridCol w:w="2146"/>
        <w:gridCol w:w="3341"/>
      </w:tblGrid>
      <w:tr w:rsidR="00D87B93" w:rsidRPr="001845ED" w:rsidTr="00967F51">
        <w:trPr>
          <w:trHeight w:val="523"/>
        </w:trPr>
        <w:tc>
          <w:tcPr>
            <w:tcW w:w="2250" w:type="dxa"/>
            <w:vAlign w:val="bottom"/>
          </w:tcPr>
          <w:p w:rsidR="00D87B93" w:rsidRPr="001845ED" w:rsidRDefault="00D87B93" w:rsidP="00D87B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D87B93" w:rsidRPr="001845ED" w:rsidRDefault="00D87B93" w:rsidP="001845E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401" w:type="dxa"/>
            <w:tcBorders>
              <w:bottom w:val="single" w:sz="4" w:space="0" w:color="auto"/>
            </w:tcBorders>
            <w:vAlign w:val="center"/>
          </w:tcPr>
          <w:p w:rsidR="00D87B93" w:rsidRPr="001845ED" w:rsidRDefault="00AA69F0" w:rsidP="007315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de Prerrogativas y Partidos Políticos</w:t>
            </w:r>
          </w:p>
        </w:tc>
        <w:tc>
          <w:tcPr>
            <w:tcW w:w="2146" w:type="dxa"/>
            <w:vAlign w:val="bottom"/>
          </w:tcPr>
          <w:p w:rsidR="00D87B93" w:rsidRPr="001845ED" w:rsidRDefault="00D87B93" w:rsidP="00D87B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341" w:type="dxa"/>
            <w:tcBorders>
              <w:bottom w:val="single" w:sz="4" w:space="0" w:color="auto"/>
            </w:tcBorders>
            <w:vAlign w:val="bottom"/>
          </w:tcPr>
          <w:p w:rsidR="00D87B93" w:rsidRPr="001845ED" w:rsidRDefault="00AA69F0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Aguascalientes</w:t>
            </w:r>
          </w:p>
        </w:tc>
      </w:tr>
    </w:tbl>
    <w:p w:rsidR="00D87B93" w:rsidRPr="00D87B93" w:rsidRDefault="00D87B93" w:rsidP="00D87B93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69"/>
        <w:gridCol w:w="3378"/>
        <w:gridCol w:w="1425"/>
        <w:gridCol w:w="3220"/>
        <w:gridCol w:w="1610"/>
        <w:gridCol w:w="2436"/>
      </w:tblGrid>
      <w:tr w:rsidR="00AA69F0" w:rsidRPr="001845ED" w:rsidTr="001845ED">
        <w:trPr>
          <w:trHeight w:val="293"/>
        </w:trPr>
        <w:tc>
          <w:tcPr>
            <w:tcW w:w="2089" w:type="dxa"/>
            <w:vAlign w:val="center"/>
          </w:tcPr>
          <w:p w:rsidR="00D87B93" w:rsidRPr="001845ED" w:rsidRDefault="00D87B93" w:rsidP="006952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Fecha de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D87B93" w:rsidRPr="001845ED" w:rsidRDefault="00AA69F0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y 31 de mayo</w:t>
            </w:r>
            <w:r w:rsidR="00535FBF">
              <w:rPr>
                <w:rFonts w:ascii="Arial" w:hAnsi="Arial" w:cs="Arial"/>
                <w:sz w:val="20"/>
                <w:szCs w:val="20"/>
              </w:rPr>
              <w:t xml:space="preserve"> de 2017</w:t>
            </w:r>
          </w:p>
        </w:tc>
        <w:tc>
          <w:tcPr>
            <w:tcW w:w="1434" w:type="dxa"/>
            <w:vAlign w:val="center"/>
          </w:tcPr>
          <w:p w:rsidR="00D87B93" w:rsidRPr="001845ED" w:rsidRDefault="00D87B93" w:rsidP="001845E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D87B93" w:rsidRPr="001845ED" w:rsidRDefault="00AA69F0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Aguascalientes</w:t>
            </w:r>
          </w:p>
        </w:tc>
        <w:tc>
          <w:tcPr>
            <w:tcW w:w="1620" w:type="dxa"/>
            <w:vAlign w:val="center"/>
          </w:tcPr>
          <w:p w:rsidR="00D87B93" w:rsidRPr="001845ED" w:rsidRDefault="00D87B93" w:rsidP="001845E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D87B93" w:rsidRPr="001845ED" w:rsidRDefault="00D87B93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7B93" w:rsidRPr="00D87B93" w:rsidRDefault="00D87B93" w:rsidP="00BD463C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600"/>
      </w:tblGrid>
      <w:tr w:rsidR="00F71C6F" w:rsidRPr="001845ED" w:rsidTr="001845ED">
        <w:trPr>
          <w:trHeight w:val="791"/>
        </w:trPr>
        <w:tc>
          <w:tcPr>
            <w:tcW w:w="1728" w:type="dxa"/>
          </w:tcPr>
          <w:p w:rsidR="00F71C6F" w:rsidRPr="001845ED" w:rsidRDefault="00F71C6F" w:rsidP="00AB64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33B9A" w:rsidRPr="001845ED">
              <w:rPr>
                <w:rFonts w:ascii="Arial" w:hAnsi="Arial" w:cs="Arial"/>
                <w:b/>
                <w:sz w:val="20"/>
                <w:szCs w:val="20"/>
              </w:rPr>
              <w:t xml:space="preserve">bjetivo de la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="00733B9A" w:rsidRPr="001845ED">
              <w:rPr>
                <w:rFonts w:ascii="Arial" w:hAnsi="Arial" w:cs="Arial"/>
                <w:b/>
                <w:sz w:val="20"/>
                <w:szCs w:val="20"/>
              </w:rPr>
              <w:t>isita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2600" w:type="dxa"/>
          </w:tcPr>
          <w:p w:rsidR="00624A3D" w:rsidRPr="00563872" w:rsidRDefault="00AA69F0" w:rsidP="00184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9F0">
              <w:rPr>
                <w:rFonts w:ascii="Arial" w:hAnsi="Arial" w:cs="Arial"/>
                <w:sz w:val="20"/>
                <w:szCs w:val="20"/>
              </w:rPr>
              <w:t>Capacitar a las emisoras y órganos desconcentrados sobre el funcionamiento del Sistema Integral de Gestión de Requerimientos en materia de radio y televisión.</w:t>
            </w:r>
          </w:p>
        </w:tc>
      </w:tr>
    </w:tbl>
    <w:p w:rsidR="000224F3" w:rsidRPr="00D87B93" w:rsidRDefault="000224F3">
      <w:pPr>
        <w:rPr>
          <w:rFonts w:ascii="Arial" w:hAnsi="Arial" w:cs="Arial"/>
          <w:b/>
          <w:sz w:val="20"/>
          <w:szCs w:val="20"/>
        </w:rPr>
      </w:pPr>
    </w:p>
    <w:p w:rsidR="00BB0CFF" w:rsidRPr="00D87B93" w:rsidRDefault="00BB0CFF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 w:rsidR="00655EFA"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 w:rsidR="00655EFA"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 w:rsidR="00655EFA"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 w:rsidR="00655EFA"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 w:rsidR="00655EFA"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BB0CFF" w:rsidRPr="00D87B93" w:rsidRDefault="00BB0CFF">
      <w:pPr>
        <w:rPr>
          <w:rFonts w:ascii="Arial" w:hAnsi="Arial" w:cs="Arial"/>
          <w:b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  <w:gridCol w:w="3780"/>
        <w:gridCol w:w="3240"/>
      </w:tblGrid>
      <w:tr w:rsidR="00E34193" w:rsidRPr="001845ED" w:rsidTr="001845ED">
        <w:trPr>
          <w:tblHeader/>
        </w:trPr>
        <w:tc>
          <w:tcPr>
            <w:tcW w:w="3348" w:type="dxa"/>
            <w:vAlign w:val="center"/>
          </w:tcPr>
          <w:p w:rsidR="00655EFA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Asuntos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elacionados con la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irma de Convenios de</w:t>
            </w:r>
          </w:p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240" w:type="dxa"/>
            <w:vAlign w:val="center"/>
          </w:tcPr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E34193" w:rsidRPr="001845ED" w:rsidTr="00967F51">
        <w:trPr>
          <w:cantSplit/>
          <w:trHeight w:val="3152"/>
        </w:trPr>
        <w:tc>
          <w:tcPr>
            <w:tcW w:w="3348" w:type="dxa"/>
            <w:vAlign w:val="center"/>
          </w:tcPr>
          <w:p w:rsidR="00BD463C" w:rsidRPr="001845ED" w:rsidRDefault="00BD463C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BD463C" w:rsidRPr="001845ED" w:rsidRDefault="00BD463C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:rsidR="00784C40" w:rsidRPr="00563872" w:rsidRDefault="00AA69F0" w:rsidP="00AA69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F2F2F"/>
                <w:sz w:val="16"/>
                <w:szCs w:val="16"/>
              </w:rPr>
            </w:pPr>
            <w:r w:rsidRPr="00AA69F0">
              <w:rPr>
                <w:rFonts w:ascii="Arial" w:hAnsi="Arial" w:cs="Arial"/>
                <w:sz w:val="20"/>
                <w:szCs w:val="20"/>
              </w:rPr>
              <w:t>Se explicó el flujo del funcionamiento del sistema atendiendo a cada rol asignado en el mismo y se entregaron las guías respectivas.</w:t>
            </w:r>
          </w:p>
        </w:tc>
        <w:tc>
          <w:tcPr>
            <w:tcW w:w="3240" w:type="dxa"/>
            <w:vAlign w:val="center"/>
          </w:tcPr>
          <w:p w:rsidR="000202F9" w:rsidRPr="001845ED" w:rsidRDefault="00AA69F0" w:rsidP="005638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9F0">
              <w:rPr>
                <w:rFonts w:ascii="Arial" w:hAnsi="Arial" w:cs="Arial"/>
                <w:sz w:val="20"/>
                <w:szCs w:val="20"/>
              </w:rPr>
              <w:t>Eficiencia en el manejo de la información, determinación específica de ámbitos de actuación respecto de juntas locales y distritales. Ahorro de recursos materiales.</w:t>
            </w:r>
          </w:p>
        </w:tc>
      </w:tr>
    </w:tbl>
    <w:p w:rsidR="00E34193" w:rsidRPr="009E420A" w:rsidRDefault="00E34193">
      <w:pPr>
        <w:rPr>
          <w:rFonts w:ascii="Arial" w:hAnsi="Arial" w:cs="Arial"/>
          <w:b/>
          <w:sz w:val="20"/>
          <w:szCs w:val="20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D87B93" w:rsidRPr="001845ED" w:rsidTr="009E420A">
        <w:trPr>
          <w:trHeight w:hRule="exact" w:val="567"/>
        </w:trPr>
        <w:tc>
          <w:tcPr>
            <w:tcW w:w="3397" w:type="dxa"/>
          </w:tcPr>
          <w:p w:rsidR="00D87B93" w:rsidRPr="001845ED" w:rsidRDefault="00D87B93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doptadas: </w:t>
            </w:r>
          </w:p>
        </w:tc>
        <w:tc>
          <w:tcPr>
            <w:tcW w:w="10915" w:type="dxa"/>
          </w:tcPr>
          <w:p w:rsidR="00D87B93" w:rsidRPr="001845ED" w:rsidRDefault="00D87B93" w:rsidP="00184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4193" w:rsidRPr="009E420A" w:rsidRDefault="00E34193">
      <w:pPr>
        <w:rPr>
          <w:rFonts w:ascii="Arial" w:hAnsi="Arial" w:cs="Arial"/>
          <w:b/>
          <w:sz w:val="20"/>
          <w:szCs w:val="20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D87B93" w:rsidRPr="001845ED" w:rsidTr="009E420A">
        <w:trPr>
          <w:trHeight w:val="787"/>
        </w:trPr>
        <w:tc>
          <w:tcPr>
            <w:tcW w:w="3397" w:type="dxa"/>
          </w:tcPr>
          <w:p w:rsidR="00D87B93" w:rsidRPr="001845ED" w:rsidRDefault="00D87B93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Necesidades de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5" w:type="dxa"/>
          </w:tcPr>
          <w:p w:rsidR="00AA69F0" w:rsidRPr="00AA69F0" w:rsidRDefault="00AA69F0" w:rsidP="00AA69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9F0">
              <w:rPr>
                <w:rFonts w:ascii="Arial" w:hAnsi="Arial" w:cs="Arial"/>
                <w:sz w:val="20"/>
                <w:szCs w:val="20"/>
              </w:rPr>
              <w:t xml:space="preserve">Se realizó de forma satisfactoria la capacitación, cuyos resultados serán evaluables a partir de la liberación del sistema. </w:t>
            </w:r>
          </w:p>
          <w:p w:rsidR="00D87B93" w:rsidRPr="001845ED" w:rsidRDefault="00AA69F0" w:rsidP="00AA69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9F0">
              <w:rPr>
                <w:rFonts w:ascii="Arial" w:hAnsi="Arial" w:cs="Arial"/>
                <w:sz w:val="20"/>
                <w:szCs w:val="20"/>
              </w:rPr>
              <w:t>Asimismo se estableció el vínculo de comu</w:t>
            </w:r>
            <w:bookmarkStart w:id="0" w:name="_GoBack"/>
            <w:bookmarkEnd w:id="0"/>
            <w:r w:rsidRPr="00AA69F0">
              <w:rPr>
                <w:rFonts w:ascii="Arial" w:hAnsi="Arial" w:cs="Arial"/>
                <w:sz w:val="20"/>
                <w:szCs w:val="20"/>
              </w:rPr>
              <w:t>nicación en caso de contingencias y se actualizaron los datos de los concesionarios.</w:t>
            </w:r>
          </w:p>
        </w:tc>
      </w:tr>
    </w:tbl>
    <w:p w:rsidR="00DF34CA" w:rsidRDefault="00DF34CA" w:rsidP="00AD2D42">
      <w:pPr>
        <w:rPr>
          <w:rFonts w:ascii="Arial" w:hAnsi="Arial" w:cs="Arial"/>
          <w:b/>
        </w:rPr>
      </w:pPr>
    </w:p>
    <w:sectPr w:rsidR="00DF34CA" w:rsidSect="000224F3">
      <w:headerReference w:type="default" r:id="rId11"/>
      <w:pgSz w:w="15840" w:h="12240" w:orient="landscape" w:code="1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974" w:rsidRDefault="005F5974">
      <w:r>
        <w:separator/>
      </w:r>
    </w:p>
  </w:endnote>
  <w:endnote w:type="continuationSeparator" w:id="0">
    <w:p w:rsidR="005F5974" w:rsidRDefault="005F5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974" w:rsidRDefault="005F5974">
      <w:r>
        <w:separator/>
      </w:r>
    </w:p>
  </w:footnote>
  <w:footnote w:type="continuationSeparator" w:id="0">
    <w:p w:rsidR="005F5974" w:rsidRDefault="005F59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E3D" w:rsidRPr="00D87B93" w:rsidRDefault="00F8043F" w:rsidP="00D87B93">
    <w:pPr>
      <w:pStyle w:val="Encabezad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s-MX" w:eastAsia="es-MX"/>
      </w:rPr>
      <w:drawing>
        <wp:inline distT="0" distB="0" distL="0" distR="0" wp14:anchorId="1DBD15DC" wp14:editId="0D9FD3C1">
          <wp:extent cx="1432560" cy="502920"/>
          <wp:effectExtent l="0" t="0" r="0" b="0"/>
          <wp:docPr id="1" name="Imagen 1" descr="ine_150x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e_150x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6E3D" w:rsidRPr="00D87B93" w:rsidRDefault="00986E3D">
    <w:pPr>
      <w:pStyle w:val="Encabezado"/>
      <w:rPr>
        <w:rFonts w:ascii="Arial" w:hAnsi="Arial" w:cs="Arial"/>
        <w:sz w:val="20"/>
        <w:szCs w:val="20"/>
      </w:rPr>
    </w:pPr>
  </w:p>
  <w:p w:rsidR="00986E3D" w:rsidRPr="00D87B93" w:rsidRDefault="00986E3D" w:rsidP="00A53CCD">
    <w:pPr>
      <w:pStyle w:val="Textoindependiente"/>
      <w:rPr>
        <w:sz w:val="20"/>
        <w:szCs w:val="20"/>
      </w:rPr>
    </w:pPr>
    <w:r w:rsidRPr="00D87B93">
      <w:rPr>
        <w:sz w:val="20"/>
        <w:szCs w:val="20"/>
      </w:rPr>
      <w:t xml:space="preserve">INFORME QUE PRESENTAN LOS INTEGRANTES DE </w:t>
    </w:r>
    <w:smartTag w:uri="urn:schemas-microsoft-com:office:smarttags" w:element="PersonName">
      <w:smartTagPr>
        <w:attr w:name="ProductID" w:val="LA JUNTA GENERAL EJECUTIVA"/>
      </w:smartTagPr>
      <w:smartTag w:uri="urn:schemas-microsoft-com:office:smarttags" w:element="PersonName">
        <w:smartTagPr>
          <w:attr w:name="ProductID" w:val="LA JUNTA GENERAL"/>
        </w:smartTagPr>
        <w:r w:rsidRPr="00D87B93">
          <w:rPr>
            <w:sz w:val="20"/>
            <w:szCs w:val="20"/>
          </w:rPr>
          <w:t>LA JUNTA GENERAL</w:t>
        </w:r>
      </w:smartTag>
      <w:r w:rsidRPr="00D87B93">
        <w:rPr>
          <w:sz w:val="20"/>
          <w:szCs w:val="20"/>
        </w:rPr>
        <w:t xml:space="preserve"> EJECUTIVA</w:t>
      </w:r>
    </w:smartTag>
    <w:r w:rsidRPr="00D87B93">
      <w:rPr>
        <w:sz w:val="20"/>
        <w:szCs w:val="20"/>
      </w:rPr>
      <w:t xml:space="preserve"> SOBRE LAS ACTIVIDADES VINCULADAS</w:t>
    </w:r>
  </w:p>
  <w:p w:rsidR="00986E3D" w:rsidRDefault="00986E3D" w:rsidP="000224F3">
    <w:pPr>
      <w:pStyle w:val="Textoindependiente"/>
      <w:rPr>
        <w:sz w:val="20"/>
        <w:szCs w:val="20"/>
      </w:rPr>
    </w:pPr>
    <w:r w:rsidRPr="00D87B93">
      <w:rPr>
        <w:sz w:val="20"/>
        <w:szCs w:val="20"/>
      </w:rPr>
      <w:t xml:space="preserve">CON LOS </w:t>
    </w:r>
    <w:r w:rsidR="008236C6" w:rsidRPr="00D87B93">
      <w:rPr>
        <w:sz w:val="20"/>
        <w:szCs w:val="20"/>
      </w:rPr>
      <w:t>ÓRGANOS</w:t>
    </w:r>
    <w:r w:rsidRPr="00D87B93">
      <w:rPr>
        <w:sz w:val="20"/>
        <w:szCs w:val="20"/>
      </w:rPr>
      <w:t xml:space="preserve"> DESCONCENTRADOS DEL INSTITUTO </w:t>
    </w:r>
    <w:r w:rsidR="007315AA">
      <w:rPr>
        <w:sz w:val="20"/>
        <w:szCs w:val="20"/>
      </w:rPr>
      <w:t>NACIONAL</w:t>
    </w:r>
    <w:r w:rsidRPr="00D87B93">
      <w:rPr>
        <w:sz w:val="20"/>
        <w:szCs w:val="20"/>
      </w:rPr>
      <w:t xml:space="preserve"> ELECTORAL</w:t>
    </w:r>
  </w:p>
  <w:p w:rsidR="00986E3D" w:rsidRPr="00D87B93" w:rsidRDefault="00986E3D" w:rsidP="000224F3">
    <w:pPr>
      <w:pStyle w:val="Textoindependient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12749"/>
    <w:multiLevelType w:val="multilevel"/>
    <w:tmpl w:val="6716168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181E97"/>
    <w:multiLevelType w:val="hybridMultilevel"/>
    <w:tmpl w:val="C3067056"/>
    <w:lvl w:ilvl="0" w:tplc="45B6A7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77224AC"/>
    <w:multiLevelType w:val="hybridMultilevel"/>
    <w:tmpl w:val="1A8250F0"/>
    <w:lvl w:ilvl="0" w:tplc="08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C57"/>
    <w:rsid w:val="000202F9"/>
    <w:rsid w:val="000224F3"/>
    <w:rsid w:val="00035AA9"/>
    <w:rsid w:val="00061C66"/>
    <w:rsid w:val="00061E21"/>
    <w:rsid w:val="00096249"/>
    <w:rsid w:val="000B2D49"/>
    <w:rsid w:val="000C031C"/>
    <w:rsid w:val="000D0DF0"/>
    <w:rsid w:val="000E3DC0"/>
    <w:rsid w:val="001138E5"/>
    <w:rsid w:val="00113FAF"/>
    <w:rsid w:val="001643AF"/>
    <w:rsid w:val="00180178"/>
    <w:rsid w:val="001845ED"/>
    <w:rsid w:val="001C1BDA"/>
    <w:rsid w:val="001C55BA"/>
    <w:rsid w:val="001D4A22"/>
    <w:rsid w:val="001D6B9A"/>
    <w:rsid w:val="001F75DD"/>
    <w:rsid w:val="00225C37"/>
    <w:rsid w:val="00231522"/>
    <w:rsid w:val="00252DC4"/>
    <w:rsid w:val="0027310F"/>
    <w:rsid w:val="00285214"/>
    <w:rsid w:val="00297F49"/>
    <w:rsid w:val="002A1882"/>
    <w:rsid w:val="002A72C2"/>
    <w:rsid w:val="002B5ACF"/>
    <w:rsid w:val="002C5723"/>
    <w:rsid w:val="002C7D9F"/>
    <w:rsid w:val="002D42AC"/>
    <w:rsid w:val="002F7BE0"/>
    <w:rsid w:val="0031458C"/>
    <w:rsid w:val="003541E9"/>
    <w:rsid w:val="00363BFA"/>
    <w:rsid w:val="003716F8"/>
    <w:rsid w:val="00385FBC"/>
    <w:rsid w:val="003B7998"/>
    <w:rsid w:val="003C0C2C"/>
    <w:rsid w:val="003C16E2"/>
    <w:rsid w:val="003C4306"/>
    <w:rsid w:val="003D17BC"/>
    <w:rsid w:val="003E7AF9"/>
    <w:rsid w:val="003F65C8"/>
    <w:rsid w:val="003F6A9D"/>
    <w:rsid w:val="004002A0"/>
    <w:rsid w:val="00404FD2"/>
    <w:rsid w:val="004158E0"/>
    <w:rsid w:val="00415929"/>
    <w:rsid w:val="00425CC6"/>
    <w:rsid w:val="00445619"/>
    <w:rsid w:val="00452AC6"/>
    <w:rsid w:val="004740E5"/>
    <w:rsid w:val="00475043"/>
    <w:rsid w:val="004A3515"/>
    <w:rsid w:val="004B2CC1"/>
    <w:rsid w:val="004D0566"/>
    <w:rsid w:val="004D1090"/>
    <w:rsid w:val="004F31EE"/>
    <w:rsid w:val="004F7EE6"/>
    <w:rsid w:val="0050063A"/>
    <w:rsid w:val="00523B2F"/>
    <w:rsid w:val="00535FBF"/>
    <w:rsid w:val="0053677E"/>
    <w:rsid w:val="00552C73"/>
    <w:rsid w:val="00563872"/>
    <w:rsid w:val="00583B6E"/>
    <w:rsid w:val="005A3964"/>
    <w:rsid w:val="005D2EFD"/>
    <w:rsid w:val="005D4834"/>
    <w:rsid w:val="005D4E0A"/>
    <w:rsid w:val="005F1B28"/>
    <w:rsid w:val="005F5974"/>
    <w:rsid w:val="00606704"/>
    <w:rsid w:val="00612271"/>
    <w:rsid w:val="006123DF"/>
    <w:rsid w:val="006213CF"/>
    <w:rsid w:val="0062141B"/>
    <w:rsid w:val="006237FA"/>
    <w:rsid w:val="00624A3D"/>
    <w:rsid w:val="00626A7D"/>
    <w:rsid w:val="0063596D"/>
    <w:rsid w:val="00650AF2"/>
    <w:rsid w:val="00655EFA"/>
    <w:rsid w:val="00671092"/>
    <w:rsid w:val="00671602"/>
    <w:rsid w:val="00677DE3"/>
    <w:rsid w:val="006851FA"/>
    <w:rsid w:val="00686F3C"/>
    <w:rsid w:val="00695232"/>
    <w:rsid w:val="006A2B6B"/>
    <w:rsid w:val="006A3CA8"/>
    <w:rsid w:val="006B5E49"/>
    <w:rsid w:val="006E0508"/>
    <w:rsid w:val="006E1F15"/>
    <w:rsid w:val="006E684A"/>
    <w:rsid w:val="006F66A2"/>
    <w:rsid w:val="00700DB5"/>
    <w:rsid w:val="00706367"/>
    <w:rsid w:val="0072492E"/>
    <w:rsid w:val="007315AA"/>
    <w:rsid w:val="00733B9A"/>
    <w:rsid w:val="007366C3"/>
    <w:rsid w:val="00746F77"/>
    <w:rsid w:val="007675F5"/>
    <w:rsid w:val="00774B72"/>
    <w:rsid w:val="0078147F"/>
    <w:rsid w:val="00784C40"/>
    <w:rsid w:val="007A0ECA"/>
    <w:rsid w:val="007C1113"/>
    <w:rsid w:val="007C6DE9"/>
    <w:rsid w:val="00811862"/>
    <w:rsid w:val="008236C6"/>
    <w:rsid w:val="00855B20"/>
    <w:rsid w:val="00856B03"/>
    <w:rsid w:val="00860A32"/>
    <w:rsid w:val="008616C3"/>
    <w:rsid w:val="00896099"/>
    <w:rsid w:val="008A0E91"/>
    <w:rsid w:val="008A4AEF"/>
    <w:rsid w:val="008A4F59"/>
    <w:rsid w:val="008D0629"/>
    <w:rsid w:val="008E15EA"/>
    <w:rsid w:val="008F2671"/>
    <w:rsid w:val="009024CB"/>
    <w:rsid w:val="0093086C"/>
    <w:rsid w:val="00934410"/>
    <w:rsid w:val="00967B95"/>
    <w:rsid w:val="00967F51"/>
    <w:rsid w:val="00986D07"/>
    <w:rsid w:val="00986E3D"/>
    <w:rsid w:val="00991EF7"/>
    <w:rsid w:val="009B2F09"/>
    <w:rsid w:val="009B7C57"/>
    <w:rsid w:val="009D0F6A"/>
    <w:rsid w:val="009E420A"/>
    <w:rsid w:val="009E57AC"/>
    <w:rsid w:val="00A009AA"/>
    <w:rsid w:val="00A049F0"/>
    <w:rsid w:val="00A13DC8"/>
    <w:rsid w:val="00A2138A"/>
    <w:rsid w:val="00A36EB0"/>
    <w:rsid w:val="00A53CCD"/>
    <w:rsid w:val="00A55F7A"/>
    <w:rsid w:val="00A7027F"/>
    <w:rsid w:val="00A911B7"/>
    <w:rsid w:val="00A94D89"/>
    <w:rsid w:val="00AA196E"/>
    <w:rsid w:val="00AA69F0"/>
    <w:rsid w:val="00AB6419"/>
    <w:rsid w:val="00AD2D42"/>
    <w:rsid w:val="00AF69D1"/>
    <w:rsid w:val="00B04637"/>
    <w:rsid w:val="00B06E9B"/>
    <w:rsid w:val="00B40B95"/>
    <w:rsid w:val="00B73698"/>
    <w:rsid w:val="00B76231"/>
    <w:rsid w:val="00BB0CFF"/>
    <w:rsid w:val="00BC1F04"/>
    <w:rsid w:val="00BD2D53"/>
    <w:rsid w:val="00BD463C"/>
    <w:rsid w:val="00BE1CFC"/>
    <w:rsid w:val="00BF764E"/>
    <w:rsid w:val="00C11DD6"/>
    <w:rsid w:val="00C17EC1"/>
    <w:rsid w:val="00C25F55"/>
    <w:rsid w:val="00C41C09"/>
    <w:rsid w:val="00C63C6C"/>
    <w:rsid w:val="00C87369"/>
    <w:rsid w:val="00C875DF"/>
    <w:rsid w:val="00CB0802"/>
    <w:rsid w:val="00CB68C4"/>
    <w:rsid w:val="00CC3B77"/>
    <w:rsid w:val="00D01116"/>
    <w:rsid w:val="00D03F0C"/>
    <w:rsid w:val="00D04299"/>
    <w:rsid w:val="00D203A9"/>
    <w:rsid w:val="00D2515F"/>
    <w:rsid w:val="00D30449"/>
    <w:rsid w:val="00D323AF"/>
    <w:rsid w:val="00D419DB"/>
    <w:rsid w:val="00D472AF"/>
    <w:rsid w:val="00D529D0"/>
    <w:rsid w:val="00D849F2"/>
    <w:rsid w:val="00D871A3"/>
    <w:rsid w:val="00D87B93"/>
    <w:rsid w:val="00DA035B"/>
    <w:rsid w:val="00DA30D1"/>
    <w:rsid w:val="00DB4016"/>
    <w:rsid w:val="00DD6536"/>
    <w:rsid w:val="00DD657B"/>
    <w:rsid w:val="00DE1B25"/>
    <w:rsid w:val="00DF34CA"/>
    <w:rsid w:val="00DF4899"/>
    <w:rsid w:val="00E07962"/>
    <w:rsid w:val="00E34193"/>
    <w:rsid w:val="00E636B2"/>
    <w:rsid w:val="00E704CC"/>
    <w:rsid w:val="00E71C40"/>
    <w:rsid w:val="00E80E64"/>
    <w:rsid w:val="00E84EB8"/>
    <w:rsid w:val="00E85E9E"/>
    <w:rsid w:val="00E90946"/>
    <w:rsid w:val="00EA23BD"/>
    <w:rsid w:val="00EA2A7F"/>
    <w:rsid w:val="00EC2B47"/>
    <w:rsid w:val="00ED43E5"/>
    <w:rsid w:val="00EF2059"/>
    <w:rsid w:val="00EF7AF6"/>
    <w:rsid w:val="00F079AF"/>
    <w:rsid w:val="00F1494A"/>
    <w:rsid w:val="00F2167D"/>
    <w:rsid w:val="00F5219C"/>
    <w:rsid w:val="00F54CC7"/>
    <w:rsid w:val="00F71C6F"/>
    <w:rsid w:val="00F8043F"/>
    <w:rsid w:val="00F918E0"/>
    <w:rsid w:val="00F93006"/>
    <w:rsid w:val="00F97213"/>
    <w:rsid w:val="00FA5F9C"/>
    <w:rsid w:val="00FC6FA1"/>
    <w:rsid w:val="00FE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6C49D519-0397-4C1E-ABBC-6621C86D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F1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E1F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6E1F15"/>
    <w:pPr>
      <w:jc w:val="center"/>
    </w:pPr>
    <w:rPr>
      <w:rFonts w:ascii="Arial" w:hAnsi="Arial" w:cs="Arial"/>
      <w:b/>
      <w:bCs/>
      <w:sz w:val="18"/>
    </w:rPr>
  </w:style>
  <w:style w:type="paragraph" w:styleId="Textoindependiente2">
    <w:name w:val="Body Text 2"/>
    <w:basedOn w:val="Normal"/>
    <w:rsid w:val="006E1F15"/>
    <w:rPr>
      <w:rFonts w:ascii="Arial" w:hAnsi="Arial" w:cs="Arial"/>
      <w:sz w:val="22"/>
      <w:lang w:val="pt-BR"/>
    </w:rPr>
  </w:style>
  <w:style w:type="paragraph" w:styleId="Textoindependiente3">
    <w:name w:val="Body Text 3"/>
    <w:basedOn w:val="Normal"/>
    <w:rsid w:val="006E1F15"/>
    <w:pPr>
      <w:jc w:val="both"/>
    </w:pPr>
    <w:rPr>
      <w:rFonts w:ascii="Arial" w:hAnsi="Arial" w:cs="Arial"/>
      <w:sz w:val="22"/>
      <w:lang w:val="pt-BR"/>
    </w:rPr>
  </w:style>
  <w:style w:type="paragraph" w:styleId="Textodeglobo">
    <w:name w:val="Balloon Text"/>
    <w:basedOn w:val="Normal"/>
    <w:semiHidden/>
    <w:rsid w:val="007C6DE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A53CC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A53CCD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22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1C1B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1C1BD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7F90891A2D314BA9DC24433D699016" ma:contentTypeVersion="1" ma:contentTypeDescription="Crear nuevo documento." ma:contentTypeScope="" ma:versionID="a087cfdb0321023731c5fbb6920d5f12">
  <xsd:schema xmlns:xsd="http://www.w3.org/2001/XMLSchema" xmlns:xs="http://www.w3.org/2001/XMLSchema" xmlns:p="http://schemas.microsoft.com/office/2006/metadata/properties" xmlns:ns2="4a00ffbc-d847-4d11-a82a-0b7c426c63e2" targetNamespace="http://schemas.microsoft.com/office/2006/metadata/properties" ma:root="true" ma:fieldsID="467da0eaaf5e90f9578c6c1130a85e57" ns2:_="">
    <xsd:import namespace="4a00ffbc-d847-4d11-a82a-0b7c426c63e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0ffbc-d847-4d11-a82a-0b7c426c63e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a00ffbc-d847-4d11-a82a-0b7c426c63e2">WPX35W3ZNAJH-34-11379</_dlc_DocId>
    <_dlc_DocIdUrl xmlns="4a00ffbc-d847-4d11-a82a-0b7c426c63e2">
      <Url>https://colabora.ife.org.mx/sites/UNICOM/SP/_layouts/15/DocIdRedir.aspx?ID=WPX35W3ZNAJH-34-11379</Url>
      <Description>WPX35W3ZNAJH-34-11379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F63B24D-0E67-4800-BF45-F7019F753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00ffbc-d847-4d11-a82a-0b7c426c63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0A6E29-1863-40CA-855A-D6090AF1A2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B0AEA3-3B96-45D2-8B42-9C67F70C4D4A}">
  <ds:schemaRefs>
    <ds:schemaRef ds:uri="http://schemas.microsoft.com/office/2006/metadata/properties"/>
    <ds:schemaRef ds:uri="http://schemas.microsoft.com/office/infopath/2007/PartnerControls"/>
    <ds:schemaRef ds:uri="4a00ffbc-d847-4d11-a82a-0b7c426c63e2"/>
  </ds:schemaRefs>
</ds:datastoreItem>
</file>

<file path=customXml/itemProps4.xml><?xml version="1.0" encoding="utf-8"?>
<ds:datastoreItem xmlns:ds="http://schemas.openxmlformats.org/officeDocument/2006/customXml" ds:itemID="{C8F79E38-9F4C-4FB7-8026-091A8F62E77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Elvira Duque De la Torre</dc:creator>
  <cp:lastModifiedBy>DANIEL FUENTES ROSAS</cp:lastModifiedBy>
  <cp:revision>4</cp:revision>
  <cp:lastPrinted>2017-06-14T17:47:00Z</cp:lastPrinted>
  <dcterms:created xsi:type="dcterms:W3CDTF">2017-06-14T17:48:00Z</dcterms:created>
  <dcterms:modified xsi:type="dcterms:W3CDTF">2017-06-14T18:02:00Z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0x010100807F90891A2D314BA9DC24433D699016</vt:lpwstr>
  </property>
  <property fmtid="{D5CDD505-2E9C-101B-9397-08002B2CF9AE}" pid="3" name="_dlc_DocIdItemGuid">
    <vt:lpwstr>7c46690a-2caf-480e-8da6-b9f87d59182c</vt:lpwstr>
  </property>
</Properties>
</file>